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A425E" w14:textId="77777777" w:rsidR="00FB3B5B" w:rsidRPr="0009075D" w:rsidRDefault="00376E6A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9075D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E75272" w:rsidRPr="0009075D">
        <w:rPr>
          <w:rFonts w:asciiTheme="majorBidi" w:hAnsiTheme="majorBidi" w:cstheme="majorBidi"/>
          <w:b/>
          <w:szCs w:val="24"/>
          <w:lang w:val="bg-BG" w:eastAsia="ru-RU"/>
        </w:rPr>
        <w:t xml:space="preserve"> 1</w:t>
      </w:r>
    </w:p>
    <w:p w14:paraId="160108A3" w14:textId="77777777" w:rsidR="00D4680C" w:rsidRPr="0009075D" w:rsidRDefault="00A23CA7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9075D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09075D" w14:paraId="77729878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B50BB0" w14:textId="77777777" w:rsidR="00F4019C" w:rsidRPr="0009075D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  <w:p w14:paraId="7C8E3ACC" w14:textId="77777777" w:rsidR="00CF5625" w:rsidRPr="0009075D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>Информация за тендера</w:t>
            </w:r>
            <w:r w:rsidR="00E70BD2"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9075D" w14:paraId="5A6424E8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373F" w14:textId="77777777" w:rsidR="00CF5625" w:rsidRPr="0009075D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9075D" w14:paraId="7FCB27B7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BAE3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Организатор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88CE" w14:textId="77777777" w:rsidR="006D1179" w:rsidRPr="0009075D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9075D" w14:paraId="47487A0A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25D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Номер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CF6D" w14:textId="5FBCCB3E" w:rsidR="006D1179" w:rsidRPr="0009075D" w:rsidRDefault="00E75272" w:rsidP="009813A9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Тендер №</w:t>
            </w:r>
            <w:r w:rsidR="002E14BD" w:rsidRPr="0009075D">
              <w:rPr>
                <w:szCs w:val="24"/>
                <w:lang w:val="bg-BG"/>
              </w:rPr>
              <w:t xml:space="preserve"> </w:t>
            </w:r>
            <w:r w:rsidR="009A03F7" w:rsidRPr="0009075D">
              <w:rPr>
                <w:b/>
                <w:lang w:val="bg-BG"/>
              </w:rPr>
              <w:t>ЛНБ-2024-1</w:t>
            </w:r>
            <w:r w:rsidR="009813A9" w:rsidRPr="0009075D">
              <w:rPr>
                <w:b/>
                <w:lang w:val="bg-BG"/>
              </w:rPr>
              <w:t>17</w:t>
            </w:r>
            <w:r w:rsidR="00393140">
              <w:rPr>
                <w:b/>
                <w:lang w:val="bg-BG"/>
              </w:rPr>
              <w:t xml:space="preserve"> </w:t>
            </w:r>
            <w:r w:rsidR="00393140">
              <w:rPr>
                <w:b/>
                <w:szCs w:val="24"/>
                <w:lang w:val="ru-RU"/>
              </w:rPr>
              <w:t>- Повторен</w:t>
            </w:r>
          </w:p>
        </w:tc>
      </w:tr>
      <w:tr w:rsidR="006D1179" w:rsidRPr="008F1AE6" w14:paraId="1FF0BD5F" w14:textId="77777777" w:rsidTr="00032E8F">
        <w:trPr>
          <w:trHeight w:val="46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AB9F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Предмет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57A9" w14:textId="23F871E6" w:rsidR="00485362" w:rsidRPr="00032E8F" w:rsidRDefault="009813A9" w:rsidP="00032E8F">
            <w:pPr>
              <w:spacing w:after="120"/>
              <w:jc w:val="center"/>
              <w:rPr>
                <w:lang w:val="bg-BG"/>
              </w:rPr>
            </w:pPr>
            <w:r w:rsidRPr="0009075D">
              <w:rPr>
                <w:b/>
                <w:szCs w:val="24"/>
                <w:lang w:val="bg-BG"/>
              </w:rPr>
              <w:t>Повишаване нивото на електрическа и пожарна безопасност в ГРУ 6,3кV</w:t>
            </w:r>
            <w:r w:rsidR="00E526C0">
              <w:rPr>
                <w:b/>
                <w:szCs w:val="24"/>
                <w:lang w:val="bg-BG"/>
              </w:rPr>
              <w:t xml:space="preserve"> </w:t>
            </w:r>
            <w:r w:rsidR="00E526C0">
              <w:rPr>
                <w:b/>
                <w:szCs w:val="24"/>
                <w:lang w:val="ru-RU"/>
              </w:rPr>
              <w:t>- Повторен</w:t>
            </w:r>
            <w:bookmarkStart w:id="1" w:name="_GoBack"/>
            <w:bookmarkEnd w:id="1"/>
          </w:p>
        </w:tc>
      </w:tr>
      <w:tr w:rsidR="0007195C" w:rsidRPr="008F1AE6" w14:paraId="7E446DC6" w14:textId="77777777" w:rsidTr="00843F20">
        <w:trPr>
          <w:trHeight w:val="55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AA38" w14:textId="77777777" w:rsidR="0007195C" w:rsidRPr="0009075D" w:rsidRDefault="00332BD5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</w:t>
            </w:r>
            <w:r w:rsidR="0007195C" w:rsidRPr="0009075D">
              <w:rPr>
                <w:rFonts w:asciiTheme="majorBidi" w:hAnsiTheme="majorBidi" w:cstheme="majorBidi"/>
                <w:lang w:val="bg-BG"/>
              </w:rPr>
              <w:t>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15D6" w14:textId="041ADB43" w:rsidR="00771E4F" w:rsidRDefault="009813A9" w:rsidP="00C47954">
            <w:pPr>
              <w:autoSpaceDE w:val="0"/>
              <w:autoSpaceDN w:val="0"/>
              <w:adjustRightInd w:val="0"/>
              <w:spacing w:before="120"/>
              <w:rPr>
                <w:b/>
                <w:szCs w:val="24"/>
                <w:lang w:val="bg-BG"/>
              </w:rPr>
            </w:pPr>
            <w:r w:rsidRPr="0009075D">
              <w:rPr>
                <w:b/>
                <w:szCs w:val="24"/>
                <w:lang w:val="bg-BG"/>
              </w:rPr>
              <w:t xml:space="preserve">Повишаване нивото на електрическа и пожарна безопасност в ГРУ 6,3кV </w:t>
            </w:r>
          </w:p>
          <w:p w14:paraId="155A3D75" w14:textId="2DA398A2" w:rsidR="00311440" w:rsidRPr="0009075D" w:rsidRDefault="00311440" w:rsidP="00311440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311440">
              <w:rPr>
                <w:rFonts w:eastAsiaTheme="minorHAnsi"/>
                <w:szCs w:val="24"/>
                <w:lang w:val="bg-BG"/>
              </w:rPr>
              <w:t>Разработване на Работен про</w:t>
            </w:r>
            <w:r>
              <w:rPr>
                <w:rFonts w:eastAsiaTheme="minorHAnsi"/>
                <w:szCs w:val="24"/>
                <w:lang w:val="bg-BG"/>
              </w:rPr>
              <w:t>ект и Екзекутивна документация</w:t>
            </w:r>
            <w:r w:rsidRPr="00311440">
              <w:rPr>
                <w:rFonts w:eastAsiaTheme="minorHAnsi"/>
                <w:szCs w:val="24"/>
                <w:lang w:val="bg-BG"/>
              </w:rPr>
              <w:t>, доставка на оборудване, извършване на</w:t>
            </w:r>
            <w:r>
              <w:rPr>
                <w:rFonts w:eastAsiaTheme="minorHAnsi"/>
                <w:szCs w:val="24"/>
                <w:lang w:val="bg-BG"/>
              </w:rPr>
              <w:t xml:space="preserve"> </w:t>
            </w:r>
            <w:r w:rsidRPr="00311440">
              <w:rPr>
                <w:rFonts w:eastAsiaTheme="minorHAnsi"/>
                <w:szCs w:val="24"/>
                <w:lang w:val="bg-BG"/>
              </w:rPr>
              <w:t>строително-монтажни работи (СМР) и пусково-наладъчни работи (П</w:t>
            </w:r>
            <w:r>
              <w:rPr>
                <w:rFonts w:eastAsiaTheme="minorHAnsi"/>
                <w:szCs w:val="24"/>
                <w:lang w:val="bg-BG"/>
              </w:rPr>
              <w:t xml:space="preserve">НР) и въвеждане в експлоатация </w:t>
            </w:r>
            <w:r w:rsidRPr="00311440">
              <w:rPr>
                <w:rFonts w:eastAsiaTheme="minorHAnsi"/>
                <w:szCs w:val="24"/>
                <w:lang w:val="bg-BG"/>
              </w:rPr>
              <w:t xml:space="preserve">за изграждане на нова двусекционна комплексна разпределителна уредба (КРУ) 6,3kV </w:t>
            </w:r>
            <w:r>
              <w:rPr>
                <w:rFonts w:eastAsiaTheme="minorHAnsi"/>
                <w:szCs w:val="24"/>
                <w:lang w:val="bg-BG"/>
              </w:rPr>
              <w:t xml:space="preserve">в оптимизиран </w:t>
            </w:r>
            <w:r w:rsidRPr="00311440">
              <w:rPr>
                <w:rFonts w:eastAsiaTheme="minorHAnsi"/>
                <w:szCs w:val="24"/>
                <w:lang w:val="bg-BG"/>
              </w:rPr>
              <w:t>вариант, к-с Енергиен, ТЕЦ, подробно описани в Приложение №1</w:t>
            </w:r>
            <w:r>
              <w:rPr>
                <w:rFonts w:eastAsiaTheme="minorHAnsi"/>
                <w:szCs w:val="24"/>
                <w:lang w:val="bg-BG"/>
              </w:rPr>
              <w:t xml:space="preserve"> на договор А202400473.</w:t>
            </w:r>
          </w:p>
          <w:p w14:paraId="2A061B52" w14:textId="667BF30C" w:rsidR="00F358EC" w:rsidRPr="00F358EC" w:rsidRDefault="009813A9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b/>
                <w:bCs/>
                <w:szCs w:val="24"/>
                <w:lang w:val="bg-BG"/>
              </w:rPr>
              <w:t xml:space="preserve">- </w:t>
            </w:r>
            <w:r w:rsidRPr="0009075D">
              <w:rPr>
                <w:rFonts w:eastAsiaTheme="minorHAnsi"/>
                <w:b/>
                <w:szCs w:val="24"/>
                <w:lang w:val="bg-BG"/>
              </w:rPr>
              <w:t>Първи етап: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</w:t>
            </w:r>
            <w:r w:rsidR="00F358EC" w:rsidRPr="00F358EC">
              <w:rPr>
                <w:rFonts w:eastAsiaTheme="minorHAnsi"/>
                <w:szCs w:val="24"/>
                <w:lang w:val="bg-BG"/>
              </w:rPr>
              <w:t>Разработване на Работен проект за целия обект по т.1 от Поръчката</w:t>
            </w:r>
            <w:r w:rsidR="00311440">
              <w:rPr>
                <w:rFonts w:eastAsiaTheme="minorHAnsi"/>
                <w:szCs w:val="24"/>
                <w:lang w:val="bg-BG"/>
              </w:rPr>
              <w:t xml:space="preserve"> (А202400473)</w:t>
            </w:r>
            <w:r w:rsidR="00F358EC" w:rsidRPr="00F358EC">
              <w:rPr>
                <w:rFonts w:eastAsiaTheme="minorHAnsi"/>
                <w:szCs w:val="24"/>
                <w:lang w:val="bg-BG"/>
              </w:rPr>
              <w:t>, извършване на ремонт на кабелния</w:t>
            </w:r>
            <w:r w:rsidR="00311440">
              <w:rPr>
                <w:rFonts w:eastAsiaTheme="minorHAnsi"/>
                <w:szCs w:val="24"/>
                <w:lang w:val="bg-BG"/>
              </w:rPr>
              <w:t xml:space="preserve"> </w:t>
            </w:r>
            <w:r w:rsidR="00F358EC" w:rsidRPr="00F358EC">
              <w:rPr>
                <w:rFonts w:eastAsiaTheme="minorHAnsi"/>
                <w:szCs w:val="24"/>
                <w:lang w:val="bg-BG"/>
              </w:rPr>
              <w:t>тунел под новата уредба (ремонт на кабелните трасета, изпълнение на строителна част, подмяна на осветителна</w:t>
            </w:r>
          </w:p>
          <w:p w14:paraId="4FE9D973" w14:textId="77777777" w:rsidR="00F358EC" w:rsidRPr="00F358EC" w:rsidRDefault="00F358EC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F358EC">
              <w:rPr>
                <w:rFonts w:eastAsiaTheme="minorHAnsi"/>
                <w:szCs w:val="24"/>
                <w:lang w:val="bg-BG"/>
              </w:rPr>
              <w:t>инсталация), ремонт на стените и покритието на пода в помещение с размери 35х4х5м.</w:t>
            </w:r>
          </w:p>
          <w:p w14:paraId="0D727FB6" w14:textId="31561ED7" w:rsidR="00AE0981" w:rsidRPr="0009075D" w:rsidRDefault="00AE0981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Работният проект – 20.11.2024 г.</w:t>
            </w:r>
          </w:p>
          <w:p w14:paraId="7C9A2C79" w14:textId="183E55DE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30.12.2024 г.</w:t>
            </w:r>
          </w:p>
          <w:p w14:paraId="11A8E931" w14:textId="5161DBD3" w:rsidR="00B74F5C" w:rsidRPr="008F1AE6" w:rsidRDefault="00A47290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ru-RU"/>
              </w:rPr>
            </w:pPr>
            <w:r w:rsidRPr="00C84BBD">
              <w:rPr>
                <w:rFonts w:eastAsiaTheme="minorHAnsi"/>
                <w:szCs w:val="24"/>
                <w:lang w:val="ru-RU"/>
              </w:rPr>
              <w:t xml:space="preserve"> </w:t>
            </w:r>
          </w:p>
          <w:p w14:paraId="77396C14" w14:textId="77777777" w:rsidR="00F358EC" w:rsidRPr="00F358EC" w:rsidRDefault="009813A9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661521">
              <w:rPr>
                <w:rFonts w:eastAsiaTheme="minorHAnsi"/>
                <w:b/>
                <w:szCs w:val="24"/>
                <w:lang w:val="bg-BG"/>
              </w:rPr>
              <w:t>- Втори етап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: </w:t>
            </w:r>
            <w:r w:rsidR="00F358EC" w:rsidRPr="00F358EC">
              <w:rPr>
                <w:rFonts w:eastAsiaTheme="minorHAnsi"/>
                <w:szCs w:val="24"/>
                <w:lang w:val="bg-BG"/>
              </w:rPr>
              <w:t>Доставка и монтаж на първа секция КРУ, защити за изводи в генераторна разпределителна уредба (ГРУ),</w:t>
            </w:r>
          </w:p>
          <w:p w14:paraId="70F4382B" w14:textId="77777777" w:rsidR="00F358EC" w:rsidRPr="00F358EC" w:rsidRDefault="00F358EC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F358EC">
              <w:rPr>
                <w:rFonts w:eastAsiaTheme="minorHAnsi"/>
                <w:szCs w:val="24"/>
                <w:lang w:val="bg-BG"/>
              </w:rPr>
              <w:t>разединител за изводна килия в ГРУ, изпълнение на СМР, ПНР и въвеждане в експлоатация на първа секция от новата</w:t>
            </w:r>
          </w:p>
          <w:p w14:paraId="501D2540" w14:textId="77777777" w:rsidR="00F358EC" w:rsidRPr="00F358EC" w:rsidRDefault="00F358EC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F358EC">
              <w:rPr>
                <w:rFonts w:eastAsiaTheme="minorHAnsi"/>
                <w:szCs w:val="24"/>
                <w:lang w:val="bg-BG"/>
              </w:rPr>
              <w:t>уредба и съответния извод в ГРУ.</w:t>
            </w:r>
          </w:p>
          <w:p w14:paraId="67A0164B" w14:textId="05BD7423" w:rsidR="00B74F5C" w:rsidRPr="0009075D" w:rsidRDefault="00B74F5C" w:rsidP="00F358EC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доставка на оборудването и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до </w:t>
            </w:r>
            <w:r w:rsidR="005B74DE">
              <w:rPr>
                <w:rFonts w:eastAsiaTheme="minorHAnsi"/>
                <w:szCs w:val="24"/>
                <w:lang w:val="bg-BG"/>
              </w:rPr>
              <w:t>30.12</w:t>
            </w:r>
            <w:r w:rsidRPr="0009075D">
              <w:rPr>
                <w:rFonts w:eastAsiaTheme="minorHAnsi"/>
                <w:szCs w:val="24"/>
                <w:lang w:val="bg-BG"/>
              </w:rPr>
              <w:t>.2025 г., но не по-рано от 05.01.2025 г.</w:t>
            </w:r>
          </w:p>
          <w:p w14:paraId="03842294" w14:textId="04CEFB34" w:rsidR="00AE0981" w:rsidRPr="0009075D" w:rsidRDefault="00F358E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>
              <w:rPr>
                <w:rFonts w:eastAsiaTheme="minorHAnsi"/>
                <w:szCs w:val="24"/>
                <w:lang w:val="bg-BG"/>
              </w:rPr>
              <w:t xml:space="preserve"> </w:t>
            </w:r>
          </w:p>
          <w:p w14:paraId="08FD8B43" w14:textId="77777777" w:rsidR="00F358EC" w:rsidRPr="00F358EC" w:rsidRDefault="009813A9" w:rsidP="00F358E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661521">
              <w:rPr>
                <w:rFonts w:eastAsiaTheme="minorHAnsi"/>
                <w:b/>
                <w:szCs w:val="24"/>
                <w:lang w:val="bg-BG"/>
              </w:rPr>
              <w:t>- Трети етап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: </w:t>
            </w:r>
            <w:r w:rsidR="00F358EC" w:rsidRPr="00F358EC">
              <w:rPr>
                <w:rFonts w:eastAsiaTheme="minorHAnsi"/>
                <w:szCs w:val="24"/>
                <w:lang w:val="bg-BG"/>
              </w:rPr>
              <w:t>Доставка на втора секция КРУ, изпълнение на СМР, ПНР и въвеждане в експлоатация на втора секция от</w:t>
            </w:r>
          </w:p>
          <w:p w14:paraId="01D43840" w14:textId="77777777" w:rsidR="00F358EC" w:rsidRPr="00F358EC" w:rsidRDefault="00F358EC" w:rsidP="00F358E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F358EC">
              <w:rPr>
                <w:rFonts w:eastAsiaTheme="minorHAnsi"/>
                <w:szCs w:val="24"/>
                <w:lang w:val="bg-BG"/>
              </w:rPr>
              <w:t>новата уредба и съответния извод в ГРУ. Извършване на демонтаж на отпадналите от експлоатация КРУ V, VI, VII, VIII и</w:t>
            </w:r>
          </w:p>
          <w:p w14:paraId="3E1A88F6" w14:textId="2EC4F026" w:rsidR="00F358EC" w:rsidRDefault="00F358EC" w:rsidP="00F358E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F358EC">
              <w:rPr>
                <w:rFonts w:eastAsiaTheme="minorHAnsi"/>
                <w:szCs w:val="24"/>
                <w:lang w:val="bg-BG"/>
              </w:rPr>
              <w:t>IX секции и разработване на екзекутивна документация за целия обект.</w:t>
            </w:r>
          </w:p>
          <w:p w14:paraId="0A7FADF4" w14:textId="46F4F2FC" w:rsidR="00B74F5C" w:rsidRPr="0009075D" w:rsidRDefault="00B74F5C" w:rsidP="00F358E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доставка на оборудването и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до 30</w:t>
            </w:r>
            <w:r w:rsidR="005B74DE">
              <w:rPr>
                <w:rFonts w:eastAsiaTheme="minorHAnsi"/>
                <w:szCs w:val="24"/>
                <w:lang w:val="bg-BG"/>
              </w:rPr>
              <w:t>.12</w:t>
            </w:r>
            <w:r w:rsidRPr="0009075D">
              <w:rPr>
                <w:rFonts w:eastAsiaTheme="minorHAnsi"/>
                <w:szCs w:val="24"/>
                <w:lang w:val="bg-BG"/>
              </w:rPr>
              <w:t>.2026 г., но не по-рано от 05.01.2026 г.</w:t>
            </w:r>
          </w:p>
          <w:p w14:paraId="5F41176C" w14:textId="2E896D46" w:rsidR="00AE0981" w:rsidRPr="0009075D" w:rsidRDefault="00AE0981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екзекутивна документация– 30 календарни дни след завършване на СМР.</w:t>
            </w:r>
          </w:p>
          <w:p w14:paraId="5F2C6366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</w:p>
          <w:p w14:paraId="44EE1FBD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Cs w:val="24"/>
                <w:lang w:val="bg-BG"/>
              </w:rPr>
            </w:pPr>
            <w:r w:rsidRPr="0009075D">
              <w:rPr>
                <w:rFonts w:eastAsiaTheme="minorHAnsi"/>
                <w:bCs/>
                <w:szCs w:val="24"/>
                <w:lang w:val="bg-BG"/>
              </w:rPr>
              <w:t xml:space="preserve">- </w:t>
            </w:r>
            <w:r w:rsidRPr="0009075D">
              <w:rPr>
                <w:rFonts w:eastAsiaTheme="minorHAnsi"/>
                <w:szCs w:val="24"/>
                <w:lang w:val="bg-BG"/>
              </w:rPr>
              <w:t>Работният проект по т. 1.1. трябва да съдържа всички проектни части /включително сметна документация/, необходими за поетапното реализиране на проекта и поетапното въвеждане на обекта в експлоатация.</w:t>
            </w:r>
          </w:p>
        </w:tc>
      </w:tr>
      <w:tr w:rsidR="00E9098E" w:rsidRPr="008F1AE6" w14:paraId="5F47144E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626" w14:textId="77777777" w:rsidR="00E9098E" w:rsidRPr="0009075D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lastRenderedPageBreak/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14F7" w14:textId="77777777" w:rsidR="00E9098E" w:rsidRPr="0009075D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8F1AE6" w14:paraId="4FB57BDC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E69A" w14:textId="77777777" w:rsidR="00EB4CBA" w:rsidRPr="0009075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8F1AE6" w14:paraId="2364FEB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7F91" w14:textId="77777777" w:rsidR="00EB4CBA" w:rsidRPr="0009075D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="Times New Roman" w:hAnsi="Times New Roman"/>
                <w:lang w:val="bg-BG"/>
              </w:rPr>
              <w:t>2.1. Техническо съответствие на предложението.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8C95" w14:textId="77777777" w:rsidR="00EB4CBA" w:rsidRPr="0009075D" w:rsidRDefault="00F4019C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0E5333" w:rsidRPr="008F1AE6" w14:paraId="0EC50C6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228C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Pr="0009075D"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14:paraId="65735429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9A1D" w14:textId="4F178506" w:rsidR="000E5333" w:rsidRPr="0009075D" w:rsidRDefault="000E5333" w:rsidP="00E3013A">
            <w:pPr>
              <w:autoSpaceDE w:val="0"/>
              <w:autoSpaceDN w:val="0"/>
              <w:adjustRightInd w:val="0"/>
              <w:spacing w:before="60" w:after="120"/>
              <w:rPr>
                <w:bCs/>
                <w:szCs w:val="24"/>
                <w:lang w:val="bg-BG" w:eastAsia="bg-BG"/>
              </w:rPr>
            </w:pPr>
            <w:r w:rsidRPr="0009075D">
              <w:rPr>
                <w:color w:val="000000"/>
                <w:szCs w:val="24"/>
                <w:lang w:val="bg-BG" w:eastAsia="bg-BG"/>
              </w:rPr>
              <w:t xml:space="preserve">2.2.1. </w:t>
            </w:r>
            <w:r w:rsidR="00C36D75" w:rsidRPr="0009075D">
              <w:rPr>
                <w:rStyle w:val="af2"/>
                <w:i w:val="0"/>
                <w:szCs w:val="24"/>
                <w:lang w:val="bg-BG"/>
              </w:rPr>
              <w:t>Претендентът</w:t>
            </w:r>
            <w:r w:rsidR="00C36D75" w:rsidRPr="0009075D">
              <w:rPr>
                <w:color w:val="000000" w:themeColor="text1"/>
                <w:lang w:val="bg-BG"/>
              </w:rPr>
              <w:t xml:space="preserve"> 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>да притежава сертификат - Орган за контрол от вид “С”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 xml:space="preserve"> в областта на електрическите измервания,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 xml:space="preserve"> съгласно видовете дейности описани в 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>„Работен проект за претендента“ или да обезпечи дейностите от фирма, притежаваща сертификат - Орган за контрол от вид “A” или “С”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.</w:t>
            </w:r>
          </w:p>
          <w:p w14:paraId="3ED50F9F" w14:textId="49555385" w:rsidR="000E5333" w:rsidRPr="0009075D" w:rsidRDefault="000E5333" w:rsidP="00265BCA">
            <w:pPr>
              <w:autoSpaceDE w:val="0"/>
              <w:autoSpaceDN w:val="0"/>
              <w:adjustRightInd w:val="0"/>
              <w:rPr>
                <w:bCs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 xml:space="preserve">2.2.2. Претендентът да 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</w:t>
            </w:r>
          </w:p>
        </w:tc>
      </w:tr>
      <w:tr w:rsidR="000E5333" w:rsidRPr="008F1AE6" w14:paraId="3DF097DD" w14:textId="77777777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6889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2.3. Разрешителни документи (валидни сертификати, лицензи, регистрации и други подобни за извършване на дейностите,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294E" w14:textId="77777777" w:rsidR="000E5333" w:rsidRPr="0009075D" w:rsidRDefault="000E5333" w:rsidP="00280EED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притежава валиден сертификати за стандарт ISO 9001, за стандарт ISO 14001 за управление на околната среда и за стандарт ISO 45 001 за здраве и безопасност при работа.</w:t>
            </w:r>
          </w:p>
        </w:tc>
      </w:tr>
      <w:tr w:rsidR="000E5333" w:rsidRPr="008F1AE6" w14:paraId="7C3C815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CF2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6A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покрива (изпълнява) изискванията по промишлена безопасност, охрана на труда и околна среда, ба</w:t>
            </w:r>
            <w:r w:rsidR="004146A7" w:rsidRPr="0009075D">
              <w:rPr>
                <w:bCs/>
                <w:szCs w:val="24"/>
                <w:lang w:val="bg-BG" w:eastAsia="bg-BG"/>
              </w:rPr>
              <w:t>зирано на успешно покриване (50</w:t>
            </w:r>
            <w:r w:rsidRPr="0009075D">
              <w:rPr>
                <w:bCs/>
                <w:szCs w:val="24"/>
                <w:lang w:val="bg-BG" w:eastAsia="bg-BG"/>
              </w:rPr>
              <w:t>% +1 положителни отговори)  на Квалификационна анкета по ТБ, ОП и Е.</w:t>
            </w:r>
          </w:p>
        </w:tc>
      </w:tr>
      <w:tr w:rsidR="000E5333" w:rsidRPr="008F1AE6" w14:paraId="52D38D53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9F35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="Times New Roman" w:hAnsi="Times New Roman"/>
                <w:lang w:val="bg-BG"/>
              </w:rPr>
              <w:t>2.5. Предишен опит на Претендента.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8699" w14:textId="6C155705" w:rsidR="000E5333" w:rsidRPr="0009075D" w:rsidRDefault="000E5333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има минимум 1 (един) договор на стойност над 50 000 лв. като основен изпълнител</w:t>
            </w:r>
            <w:r w:rsidR="00C47954" w:rsidRPr="0009075D">
              <w:rPr>
                <w:bCs/>
                <w:szCs w:val="24"/>
                <w:lang w:val="bg-BG" w:eastAsia="bg-BG"/>
              </w:rPr>
              <w:t xml:space="preserve"> на</w:t>
            </w:r>
            <w:r w:rsidRPr="0009075D">
              <w:rPr>
                <w:bCs/>
                <w:szCs w:val="24"/>
                <w:lang w:val="bg-BG" w:eastAsia="bg-BG"/>
              </w:rPr>
              <w:t xml:space="preserve"> аналогични работи (услуги) по предмета на </w:t>
            </w:r>
            <w:r w:rsidR="00FC1289" w:rsidRPr="0009075D">
              <w:rPr>
                <w:color w:val="000000" w:themeColor="text1"/>
                <w:spacing w:val="3"/>
                <w:szCs w:val="24"/>
                <w:shd w:val="clear" w:color="auto" w:fill="FFFFFF"/>
                <w:lang w:val="bg-BG"/>
              </w:rPr>
              <w:t>тендерната процедура</w:t>
            </w:r>
            <w:r w:rsidRPr="0009075D">
              <w:rPr>
                <w:bCs/>
                <w:szCs w:val="24"/>
                <w:lang w:val="bg-BG" w:eastAsia="bg-BG"/>
              </w:rPr>
              <w:t>. Договорите трябва да са приключени в последните 5 (пет) години и/или в действие към момента.</w:t>
            </w:r>
          </w:p>
        </w:tc>
      </w:tr>
      <w:tr w:rsidR="000E5333" w:rsidRPr="008F1AE6" w14:paraId="1C26D76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78A7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6DCB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szCs w:val="24"/>
                <w:lang w:val="bg-BG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0E5333" w:rsidRPr="008F1AE6" w14:paraId="01D8B112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FE95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2.7. </w:t>
            </w:r>
            <w:r w:rsidR="00E326A9" w:rsidRPr="0009075D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Pr="0009075D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592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приема безусловно предложения проект на договор.</w:t>
            </w:r>
          </w:p>
        </w:tc>
      </w:tr>
      <w:tr w:rsidR="000E5333" w:rsidRPr="008F1AE6" w14:paraId="049EAD26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9DBC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16DB" w14:textId="77777777" w:rsidR="000E5333" w:rsidRPr="0009075D" w:rsidRDefault="00E850B3" w:rsidP="00E850B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szCs w:val="24"/>
                <w:lang w:val="bg-BG"/>
              </w:rPr>
              <w:t>Претендентът д</w:t>
            </w:r>
            <w:r w:rsidR="000E5333" w:rsidRPr="0009075D">
              <w:rPr>
                <w:szCs w:val="24"/>
                <w:lang w:val="bg-BG"/>
              </w:rPr>
              <w:t xml:space="preserve">а </w:t>
            </w:r>
            <w:r w:rsidRPr="0009075D">
              <w:rPr>
                <w:szCs w:val="24"/>
                <w:lang w:val="bg-BG"/>
              </w:rPr>
              <w:t>предостави техническа</w:t>
            </w:r>
            <w:r w:rsidR="000E5333" w:rsidRPr="0009075D">
              <w:rPr>
                <w:szCs w:val="24"/>
                <w:lang w:val="bg-BG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9813A9" w:rsidRPr="008F1AE6" w14:paraId="6D97E4BA" w14:textId="77777777" w:rsidTr="0078234E">
        <w:trPr>
          <w:trHeight w:val="48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942" w14:textId="77777777" w:rsidR="009813A9" w:rsidRPr="0009075D" w:rsidRDefault="009813A9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2.9. Гаранционни условия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8A7F" w14:textId="77777777" w:rsidR="009813A9" w:rsidRPr="0009075D" w:rsidRDefault="009813A9" w:rsidP="00E850B3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bg-BG"/>
              </w:rPr>
            </w:pPr>
            <w:r w:rsidRPr="0009075D">
              <w:rPr>
                <w:color w:val="000000" w:themeColor="text1"/>
                <w:szCs w:val="24"/>
                <w:lang w:val="bg-BG" w:eastAsia="bg-BG"/>
              </w:rPr>
              <w:t>Гаранции за доставеното оборудване – 36 месеца</w:t>
            </w:r>
          </w:p>
        </w:tc>
      </w:tr>
      <w:tr w:rsidR="000E5333" w:rsidRPr="008F1AE6" w14:paraId="55F2C1D5" w14:textId="77777777" w:rsidTr="0078234E">
        <w:trPr>
          <w:trHeight w:val="54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B56B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09075D" w14:paraId="26EEF98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DAE0" w14:textId="77777777" w:rsidR="000E5333" w:rsidRPr="0009075D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9CB0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8F1AE6" w14:paraId="36FBD189" w14:textId="77777777" w:rsidTr="0078234E">
        <w:trPr>
          <w:trHeight w:val="16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2D3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lastRenderedPageBreak/>
              <w:t>Претендентът, съвместно с подизпълнител/и,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1441" w14:textId="75D43289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09075D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  <w:r w:rsidR="003F6C9B">
              <w:rPr>
                <w:rFonts w:asciiTheme="majorBidi" w:hAnsiTheme="majorBidi" w:cstheme="majorBidi"/>
                <w:iCs/>
                <w:lang w:val="bg-BG"/>
              </w:rPr>
              <w:t>1.</w:t>
            </w:r>
          </w:p>
          <w:p w14:paraId="5A12E60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220F10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0E5333" w:rsidRPr="008F1AE6" w14:paraId="34DA17F3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174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C36D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1725293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 - Претендентът представя официални документи за съдружие/споразумение и контрола на главния офис (ако има);</w:t>
            </w:r>
          </w:p>
          <w:p w14:paraId="07AA8C6E" w14:textId="609DBFE7" w:rsidR="0078234E" w:rsidRPr="0078234E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8B47F3" w:rsidRPr="008F1AE6" w14:paraId="5C7750F0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A3C3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Важно!</w:t>
            </w:r>
          </w:p>
          <w:p w14:paraId="77F84B8D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7746A7" w14:textId="77777777" w:rsidR="008B47F3" w:rsidRPr="0009075D" w:rsidRDefault="008B47F3" w:rsidP="008B47F3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79DE33D4" w14:textId="77777777" w:rsidR="008B47F3" w:rsidRPr="0009075D" w:rsidRDefault="008B47F3" w:rsidP="008B47F3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8B47F3" w:rsidRPr="008F1AE6" w14:paraId="1BE68BB3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EA04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III. Срокове за отделните етапи на провеждане на тендера.</w:t>
            </w:r>
          </w:p>
        </w:tc>
      </w:tr>
      <w:tr w:rsidR="008B47F3" w:rsidRPr="006F0917" w14:paraId="7842CAB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093F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B112" w14:textId="53A3E7E1" w:rsidR="008B47F3" w:rsidRPr="0009075D" w:rsidRDefault="00C84BBD" w:rsidP="00C84BB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19</w:t>
            </w:r>
            <w:r w:rsidR="006F0917">
              <w:rPr>
                <w:szCs w:val="24"/>
                <w:lang w:val="bg-BG" w:eastAsia="bg-BG"/>
              </w:rPr>
              <w:t>.09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6F0917" w14:paraId="19DA9A7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C942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C49D" w14:textId="13EBAEE0" w:rsidR="008B47F3" w:rsidRPr="0009075D" w:rsidRDefault="006F0917" w:rsidP="00C84BB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2</w:t>
            </w:r>
            <w:r w:rsidR="00C84BBD">
              <w:rPr>
                <w:szCs w:val="24"/>
                <w:lang w:eastAsia="bg-BG"/>
              </w:rPr>
              <w:t>0</w:t>
            </w:r>
            <w:r>
              <w:rPr>
                <w:szCs w:val="24"/>
                <w:lang w:val="bg-BG" w:eastAsia="bg-BG"/>
              </w:rPr>
              <w:t>.09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6F0917" w14:paraId="47BCA32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BD58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D68C" w14:textId="58267F41" w:rsidR="008B47F3" w:rsidRPr="0009075D" w:rsidRDefault="00C84BBD" w:rsidP="008B47F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03</w:t>
            </w:r>
            <w:r w:rsidR="006F0917">
              <w:rPr>
                <w:szCs w:val="24"/>
                <w:lang w:val="bg-BG" w:eastAsia="bg-BG"/>
              </w:rPr>
              <w:t>.10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6F0917" w14:paraId="3295DDB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1240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3.4.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09075D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E25E" w14:textId="3FD0CB93" w:rsidR="008B47F3" w:rsidRPr="0009075D" w:rsidRDefault="00C84BBD" w:rsidP="00C84BBD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04</w:t>
            </w:r>
            <w:r w:rsidR="006F0917">
              <w:rPr>
                <w:szCs w:val="24"/>
                <w:lang w:val="bg-BG" w:eastAsia="bg-BG"/>
              </w:rPr>
              <w:t>.10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8F1AE6" w14:paraId="2336B823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2D04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B47F3" w:rsidRPr="008F1AE6" w14:paraId="447A8A85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EDB6" w14:textId="77777777" w:rsidR="008B47F3" w:rsidRPr="0009075D" w:rsidRDefault="008B47F3" w:rsidP="008B47F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9075D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0E2B" w14:textId="77777777" w:rsidR="008B47F3" w:rsidRPr="0009075D" w:rsidRDefault="00032E8F" w:rsidP="009813A9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9813A9" w:rsidRPr="0009075D">
                <w:rPr>
                  <w:rStyle w:val="a8"/>
                  <w:lang w:val="bg-BG" w:eastAsia="bg-BG"/>
                </w:rPr>
                <w:t>mitev.dimitar.k@neftochim.bg</w:t>
              </w:r>
            </w:hyperlink>
          </w:p>
        </w:tc>
      </w:tr>
      <w:tr w:rsidR="008B47F3" w:rsidRPr="0009075D" w14:paraId="07A6BC7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6BF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8B47F3" w:rsidRPr="0009075D" w14:paraId="57F6E758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BEA" w14:textId="77777777" w:rsidR="008B47F3" w:rsidRPr="0009075D" w:rsidRDefault="008B47F3" w:rsidP="008B47F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072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</w:t>
            </w:r>
          </w:p>
        </w:tc>
      </w:tr>
      <w:tr w:rsidR="008B47F3" w:rsidRPr="0009075D" w14:paraId="4D759FA9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0465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FFA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bCs/>
                <w:szCs w:val="24"/>
                <w:lang w:val="bg-BG" w:eastAsia="ru-RU" w:bidi="en-US"/>
              </w:rPr>
              <w:t>BGN</w:t>
            </w:r>
          </w:p>
        </w:tc>
      </w:tr>
      <w:tr w:rsidR="008B47F3" w:rsidRPr="008F1AE6" w14:paraId="563FF92E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5D2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171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(деветдесет) 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8B47F3" w:rsidRPr="008F1AE6" w14:paraId="1B85A36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4096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VI. Приемане и отваряне на тендерните предложения.</w:t>
            </w:r>
          </w:p>
        </w:tc>
      </w:tr>
      <w:tr w:rsidR="008B47F3" w:rsidRPr="008F1AE6" w14:paraId="10A5822B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188E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6.1.</w:t>
            </w:r>
            <w:r w:rsidRPr="0009075D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E8A2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8B47F3" w:rsidRPr="0009075D" w14:paraId="48B67DE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7414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6.2. Участие на Претенденти в отваряне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EF8C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B47F3" w:rsidRPr="0009075D" w14:paraId="071F906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7DE" w14:textId="77777777" w:rsidR="008B47F3" w:rsidRPr="0009075D" w:rsidRDefault="008B47F3" w:rsidP="008B47F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VII. Структура на офертата.</w:t>
            </w:r>
          </w:p>
        </w:tc>
      </w:tr>
      <w:tr w:rsidR="008B47F3" w:rsidRPr="0009075D" w14:paraId="2036CCF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8F3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B47F3" w:rsidRPr="008F1AE6" w14:paraId="2AAF028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D3EC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262A40A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411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B47F3" w:rsidRPr="008F1AE6" w14:paraId="29654B0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7B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2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09075D" w14:paraId="416BC1A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418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Техническо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8B47F3" w:rsidRPr="008F1AE6" w14:paraId="792A52C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C7B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График на доставките/ Предоставяне на услугите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8B47F3" w:rsidRPr="008F1AE6" w14:paraId="3C0CCDA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9472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8F1AE6" w14:paraId="7F74E1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68C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8F1AE6" w14:paraId="0099EFA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CB3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8F1AE6" w14:paraId="04028FF8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340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F1AE6" w14:paraId="1B548D4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12B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F1AE6" w14:paraId="12784C98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191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9075D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8B47F3" w:rsidRPr="008F1AE6" w14:paraId="3EC5073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106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F1AE6" w14:paraId="742F6C0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09D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8F1AE6" w14:paraId="683CBBB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90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F1AE6" w14:paraId="389FA45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28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F1AE6" w14:paraId="1270B8E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23A1" w14:textId="77777777" w:rsidR="008B47F3" w:rsidRPr="0009075D" w:rsidRDefault="008B47F3" w:rsidP="008B47F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09075D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8B47F3" w:rsidRPr="0009075D" w14:paraId="76AE92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0821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8B47F3" w:rsidRPr="008F1AE6" w14:paraId="57A2D89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F6B9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Търговска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1702D2F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532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Титулен лист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6.</w:t>
            </w:r>
          </w:p>
        </w:tc>
      </w:tr>
      <w:tr w:rsidR="008B47F3" w:rsidRPr="0009075D" w14:paraId="1204AB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EBB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14:paraId="5828B99D" w14:textId="77777777" w:rsidR="00865004" w:rsidRPr="0009075D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9075D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334C2" w14:textId="77777777" w:rsidR="00A509B5" w:rsidRDefault="00A509B5" w:rsidP="00CF5625">
      <w:r>
        <w:separator/>
      </w:r>
    </w:p>
  </w:endnote>
  <w:endnote w:type="continuationSeparator" w:id="0">
    <w:p w14:paraId="64EAC020" w14:textId="77777777" w:rsidR="00A509B5" w:rsidRDefault="00A509B5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9D1ACD" w14:textId="28065D0D" w:rsidR="00A509B5" w:rsidRPr="00463F6D" w:rsidRDefault="00A509B5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32E8F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32E8F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5A011" w14:textId="77777777" w:rsidR="00A509B5" w:rsidRDefault="00A509B5" w:rsidP="00CF5625">
      <w:r>
        <w:separator/>
      </w:r>
    </w:p>
  </w:footnote>
  <w:footnote w:type="continuationSeparator" w:id="0">
    <w:p w14:paraId="41C5DAE1" w14:textId="77777777" w:rsidR="00A509B5" w:rsidRDefault="00A509B5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E8F"/>
    <w:rsid w:val="000343F5"/>
    <w:rsid w:val="00034803"/>
    <w:rsid w:val="00035BF8"/>
    <w:rsid w:val="000368A5"/>
    <w:rsid w:val="00036B5C"/>
    <w:rsid w:val="00037DEF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73BD6"/>
    <w:rsid w:val="00086792"/>
    <w:rsid w:val="00087205"/>
    <w:rsid w:val="0009075D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5B93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5BCA"/>
    <w:rsid w:val="002678C5"/>
    <w:rsid w:val="002712F9"/>
    <w:rsid w:val="00271624"/>
    <w:rsid w:val="002746A8"/>
    <w:rsid w:val="00275079"/>
    <w:rsid w:val="00276FDA"/>
    <w:rsid w:val="00280D68"/>
    <w:rsid w:val="00280EED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285E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440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2BD5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140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3F6C9B"/>
    <w:rsid w:val="00401DF3"/>
    <w:rsid w:val="004026C6"/>
    <w:rsid w:val="00402970"/>
    <w:rsid w:val="00405457"/>
    <w:rsid w:val="00406B7D"/>
    <w:rsid w:val="00412392"/>
    <w:rsid w:val="0041326B"/>
    <w:rsid w:val="0041419F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070C"/>
    <w:rsid w:val="004521F2"/>
    <w:rsid w:val="00454172"/>
    <w:rsid w:val="0045496C"/>
    <w:rsid w:val="00454E4F"/>
    <w:rsid w:val="00455ECA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23E7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4DE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0A6C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0FE7"/>
    <w:rsid w:val="00661521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B9D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0917"/>
    <w:rsid w:val="006F159C"/>
    <w:rsid w:val="006F1D3E"/>
    <w:rsid w:val="006F25F0"/>
    <w:rsid w:val="006F52DC"/>
    <w:rsid w:val="00701CC7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67F39"/>
    <w:rsid w:val="00771E4F"/>
    <w:rsid w:val="00775232"/>
    <w:rsid w:val="00777E21"/>
    <w:rsid w:val="00780BD3"/>
    <w:rsid w:val="00781730"/>
    <w:rsid w:val="0078234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05A8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3F20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47F3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AE6"/>
    <w:rsid w:val="008F1E37"/>
    <w:rsid w:val="008F7287"/>
    <w:rsid w:val="00900946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13A9"/>
    <w:rsid w:val="00984D54"/>
    <w:rsid w:val="009852ED"/>
    <w:rsid w:val="00986FA6"/>
    <w:rsid w:val="009903E0"/>
    <w:rsid w:val="0099304A"/>
    <w:rsid w:val="00993238"/>
    <w:rsid w:val="0099382D"/>
    <w:rsid w:val="00995184"/>
    <w:rsid w:val="009A03F7"/>
    <w:rsid w:val="009A278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290"/>
    <w:rsid w:val="00A476E2"/>
    <w:rsid w:val="00A509B5"/>
    <w:rsid w:val="00A547C0"/>
    <w:rsid w:val="00A556CB"/>
    <w:rsid w:val="00A5729C"/>
    <w:rsid w:val="00A60D92"/>
    <w:rsid w:val="00A655D4"/>
    <w:rsid w:val="00A66166"/>
    <w:rsid w:val="00A6790A"/>
    <w:rsid w:val="00A74658"/>
    <w:rsid w:val="00A75BA2"/>
    <w:rsid w:val="00A77815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098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4F5C"/>
    <w:rsid w:val="00B7736A"/>
    <w:rsid w:val="00B80B88"/>
    <w:rsid w:val="00B8317A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16BCF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6D75"/>
    <w:rsid w:val="00C370E1"/>
    <w:rsid w:val="00C37D83"/>
    <w:rsid w:val="00C44096"/>
    <w:rsid w:val="00C4436A"/>
    <w:rsid w:val="00C475D8"/>
    <w:rsid w:val="00C47954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BBD"/>
    <w:rsid w:val="00C84EAE"/>
    <w:rsid w:val="00C908C6"/>
    <w:rsid w:val="00C92AE1"/>
    <w:rsid w:val="00C92F43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1604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589D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372C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013A"/>
    <w:rsid w:val="00E32574"/>
    <w:rsid w:val="00E326A9"/>
    <w:rsid w:val="00E4197E"/>
    <w:rsid w:val="00E43645"/>
    <w:rsid w:val="00E43684"/>
    <w:rsid w:val="00E439ED"/>
    <w:rsid w:val="00E445C5"/>
    <w:rsid w:val="00E465C2"/>
    <w:rsid w:val="00E526C0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50B3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47B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49B2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58EC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1C74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006E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1289"/>
    <w:rsid w:val="00FC4543"/>
    <w:rsid w:val="00FC53B5"/>
    <w:rsid w:val="00FC693B"/>
    <w:rsid w:val="00FC7CB2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F5FF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C36D75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49A9-429C-453E-A50F-0A7BDB44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162</cp:revision>
  <cp:lastPrinted>2018-02-09T08:24:00Z</cp:lastPrinted>
  <dcterms:created xsi:type="dcterms:W3CDTF">2022-11-25T14:02:00Z</dcterms:created>
  <dcterms:modified xsi:type="dcterms:W3CDTF">2024-09-09T05:08:00Z</dcterms:modified>
</cp:coreProperties>
</file>